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Sprotna priprava na uro kemije: Kisline, baze in indikatorji</w:t>
      </w:r>
    </w:p>
    <w:p>
      <w:pPr>
        <w:pStyle w:val="Subtitle"/>
      </w:pPr>
      <w:r>
        <w:t xml:space="preserve">Priprava na uro · Sokrat, Astra AI</w:t>
      </w:r>
    </w:p>
    <w:tbl>
      <w:tblPr>
        <w:tblW w:w="9638" w:type="dxa"/>
        <w:tblBorders>
          <w:top w:val="single" w:sz="4" w:color="C8CFD8"/>
          <w:left w:val="single" w:sz="4" w:color="C8CFD8"/>
          <w:bottom w:val="single" w:sz="4" w:color="C8CFD8"/>
          <w:right w:val="single" w:sz="4" w:color="C8CFD8"/>
          <w:insideH w:val="single" w:sz="4" w:color="C8CFD8"/>
          <w:insideV w:val="single" w:sz="4" w:color="C8CFD8"/>
        </w:tblBorders>
      </w:tblPr>
      <w:tr>
        <w:tc>
          <w:tcPr>
            <w:tcW w:w="2000" w:type="dxa"/>
            <w:shd w:val="clear" w:fill="EEF1F4"/>
          </w:tcPr>
          <w:p>
            <w:r>
              <w:rPr>
                <w:b/>
              </w:rPr>
              <w:t xml:space="preserve">Predmet</w:t>
            </w:r>
          </w:p>
        </w:tc>
        <w:tc>
          <w:tcPr>
            <w:tcW w:w="2819" w:type="dxa"/>
          </w:tcPr>
          <w:p>
            <w:r>
              <w:t xml:space="preserve">Kemija</w:t>
            </w:r>
          </w:p>
        </w:tc>
        <w:tc>
          <w:tcPr>
            <w:tcW w:w="2000" w:type="dxa"/>
            <w:shd w:val="clear" w:fill="EEF1F4"/>
          </w:tcPr>
          <w:p>
            <w:r>
              <w:rPr>
                <w:b/>
              </w:rPr>
              <w:t xml:space="preserve">Razred / letnik</w:t>
            </w:r>
          </w:p>
        </w:tc>
        <w:tc>
          <w:tcPr>
            <w:tcW w:w="2819" w:type="dxa"/>
          </w:tcPr>
          <w:p>
            <w:r>
              <w:t xml:space="preserve">9. razred</w:t>
            </w:r>
          </w:p>
        </w:tc>
      </w:tr>
      <w:tr>
        <w:tc>
          <w:tcPr>
            <w:tcW w:w="2000" w:type="dxa"/>
            <w:shd w:val="clear" w:fill="EEF1F4"/>
          </w:tcPr>
          <w:p>
            <w:r>
              <w:rPr>
                <w:b/>
              </w:rPr>
              <w:t xml:space="preserve">Program</w:t>
            </w:r>
          </w:p>
        </w:tc>
        <w:tc>
          <w:tcPr>
            <w:tcW w:w="2819" w:type="dxa"/>
          </w:tcPr>
          <w:p>
            <w:r>
              <w:t xml:space="preserve">Osnovna šola</w:t>
            </w:r>
          </w:p>
        </w:tc>
        <w:tc>
          <w:tcPr>
            <w:tcW w:w="2000" w:type="dxa"/>
            <w:shd w:val="clear" w:fill="EEF1F4"/>
          </w:tcPr>
          <w:p>
            <w:r>
              <w:rPr>
                <w:b/>
              </w:rPr>
              <w:t xml:space="preserve">Trajanje</w:t>
            </w:r>
          </w:p>
        </w:tc>
        <w:tc>
          <w:tcPr>
            <w:tcW w:w="2819" w:type="dxa"/>
          </w:tcPr>
          <w:p>
            <w:r>
              <w:t xml:space="preserve">45 min</w:t>
            </w:r>
          </w:p>
        </w:tc>
      </w:tr>
      <w:tr>
        <w:tc>
          <w:tcPr>
            <w:tcW w:w="2000" w:type="dxa"/>
            <w:shd w:val="clear" w:fill="EEF1F4"/>
          </w:tcPr>
          <w:p>
            <w:r>
              <w:rPr>
                <w:b/>
              </w:rPr>
              <w:t xml:space="preserve">Učni načrt</w:t>
            </w:r>
          </w:p>
        </w:tc>
        <w:tc>
          <w:tcPr>
            <w:tcW w:w="2819" w:type="dxa"/>
          </w:tcPr>
          <w:p>
            <w:r>
              <w:t xml:space="preserve">kemija · Izobraževalni program osnovne šole</w:t>
            </w:r>
          </w:p>
        </w:tc>
        <w:tc>
          <w:tcPr>
            <w:tcW w:w="2000" w:type="dxa"/>
            <w:shd w:val="clear" w:fill="EEF1F4"/>
          </w:tcPr>
          <w:p>
            <w:r>
              <w:rPr>
                <w:b/>
              </w:rPr>
              <w:t xml:space="preserve">Različica</w:t>
            </w:r>
          </w:p>
        </w:tc>
        <w:tc>
          <w:tcPr>
            <w:tcW w:w="2819" w:type="dxa"/>
          </w:tcPr>
          <w:p>
            <w:r>
              <w:t xml:space="preserve">Uradni učni načrt (MVI/ZRSŠ 2025) · Tretje vzgojno-izobraževalno obdobje</w:t>
            </w:r>
          </w:p>
        </w:tc>
      </w:tr>
    </w:tbl>
    <w:p>
      <w:r>
        <w:t xml:space="preserve">Priprava vključuje 45-minutno eksperimentalno delo v skupinah, pri katerem učenci z indikatorjem iz rdečega zelja razlikujejo med kislimi, bazičnimi in nevtralnimi vodnimi raztopinami. Poudarjeni so raziskovalni pristop, zapis opažanj in sklepov ter varno in odgovorno ravnanje s snovmi in laboratorijskim priborom.</w:t>
      </w:r>
    </w:p>
    <w:p>
      <w:pPr>
        <w:pStyle w:val="Heading1"/>
      </w:pPr>
      <w:r>
        <w:t xml:space="preserve">Cilji ure</w:t>
      </w:r>
    </w:p>
    <w:p>
      <w:pPr>
        <w:ind w:left="360" w:hanging="200"/>
      </w:pPr>
      <w:r>
        <w:t xml:space="preserve">• Pojasni pojem indikator in navede indikator iz barvil rdečega zelja kot primer indikatorja.</w:t>
      </w:r>
    </w:p>
    <w:p>
      <w:pPr>
        <w:ind w:left="360" w:hanging="200"/>
      </w:pPr>
      <w:r>
        <w:t xml:space="preserve">• Na podlagi barvne spremembe indikatorja eksperimentalno razlikuje med kislimi, bazičnimi in nevtralnimi vodnimi raztopinami.</w:t>
      </w:r>
    </w:p>
    <w:p>
      <w:pPr>
        <w:ind w:left="360" w:hanging="200"/>
      </w:pPr>
      <w:r>
        <w:t xml:space="preserve">• Pred izvedbo poskusa oblikuje hipotezo ter opredeli potrebne pripomočke in osnovni potek dela.</w:t>
      </w:r>
    </w:p>
    <w:p>
      <w:pPr>
        <w:ind w:left="360" w:hanging="200"/>
      </w:pPr>
      <w:r>
        <w:t xml:space="preserve">• Sistematično zapiše opažanja in rezultate ter oblikuje sklep o lastnostih preiskovanih raztopin.</w:t>
      </w:r>
    </w:p>
    <w:p>
      <w:pPr>
        <w:ind w:left="360" w:hanging="200"/>
      </w:pPr>
      <w:r>
        <w:t xml:space="preserve">• Pri skupinskem eksperimentalnem delu varno in odgovorno ravna s snovmi ter laboratorijskim priborom.</w:t>
      </w:r>
    </w:p>
    <w:p>
      <w:r>
        <w:rPr>
          <w:b/>
        </w:rPr>
        <w:t xml:space="preserve">Kriteriji uspešnosti</w:t>
      </w:r>
    </w:p>
    <w:p>
      <w:pPr>
        <w:ind w:left="360" w:hanging="200"/>
      </w:pPr>
      <w:r>
        <w:t xml:space="preserve">• Pravilno opredelim indikator kot snov, ki z barvno spremembo pomaga razlikovati med kislimi, bazičnimi in nevtralnimi raztopinami.</w:t>
      </w:r>
    </w:p>
    <w:p>
      <w:pPr>
        <w:ind w:left="360" w:hanging="200"/>
      </w:pPr>
      <w:r>
        <w:t xml:space="preserve">• Pred poskusom za vsako raztopino zapišem preverljivo napoved.</w:t>
      </w:r>
    </w:p>
    <w:p>
      <w:pPr>
        <w:ind w:left="360" w:hanging="200"/>
      </w:pPr>
      <w:r>
        <w:t xml:space="preserve">• Za vsako preiskovano raztopino zabeležim začetno oznako, opaženo barvo indikatorja in razvrstitev.</w:t>
      </w:r>
    </w:p>
    <w:p>
      <w:pPr>
        <w:ind w:left="360" w:hanging="200"/>
      </w:pPr>
      <w:r>
        <w:t xml:space="preserve">• Na podlagi rezultatov pravilno razlikujem med kislo, bazično in nevtralno vodno raztopino.</w:t>
      </w:r>
    </w:p>
    <w:p>
      <w:pPr>
        <w:ind w:left="360" w:hanging="200"/>
      </w:pPr>
      <w:r>
        <w:t xml:space="preserve">• Upoštevam zaščitne ukrepe, ne okušam snovi, uporabljam ločene pipete in ob razlitju takoj obvestim učitelja.</w:t>
      </w:r>
    </w:p>
    <w:p>
      <w:pPr>
        <w:pStyle w:val="Heading1"/>
      </w:pPr>
      <w:r>
        <w:t xml:space="preserve">Potek ure</w:t>
      </w:r>
    </w:p>
    <w:tbl>
      <w:tblPr>
        <w:tblW w:w="9638" w:type="dxa"/>
        <w:tblBorders>
          <w:top w:val="single" w:sz="4" w:color="C8CFD8"/>
          <w:left w:val="single" w:sz="4" w:color="C8CFD8"/>
          <w:bottom w:val="single" w:sz="4" w:color="C8CFD8"/>
          <w:right w:val="single" w:sz="4" w:color="C8CFD8"/>
          <w:insideH w:val="single" w:sz="4" w:color="C8CFD8"/>
          <w:insideV w:val="single" w:sz="4" w:color="C8CFD8"/>
        </w:tblBorders>
      </w:tblPr>
      <w:tr>
        <w:tc>
          <w:tcPr>
            <w:tcW w:w="1100" w:type="dxa"/>
            <w:shd w:val="clear" w:fill="EEF1F4"/>
          </w:tcPr>
          <w:p>
            <w:r>
              <w:rPr>
                <w:b/>
              </w:rPr>
              <w:t xml:space="preserve">Čas</w:t>
            </w:r>
          </w:p>
        </w:tc>
        <w:tc>
          <w:tcPr>
            <w:tcW w:w="2200" w:type="dxa"/>
            <w:shd w:val="clear" w:fill="EEF1F4"/>
          </w:tcPr>
          <w:p>
            <w:r>
              <w:rPr>
                <w:b/>
              </w:rPr>
              <w:t xml:space="preserve">Faza</w:t>
            </w:r>
          </w:p>
        </w:tc>
        <w:tc>
          <w:tcPr>
            <w:tcW w:w="3169" w:type="dxa"/>
            <w:shd w:val="clear" w:fill="EEF1F4"/>
          </w:tcPr>
          <w:p>
            <w:r>
              <w:rPr>
                <w:b/>
              </w:rPr>
              <w:t xml:space="preserve">Učitelj</w:t>
            </w:r>
          </w:p>
        </w:tc>
        <w:tc>
          <w:tcPr>
            <w:tcW w:w="3169" w:type="dxa"/>
            <w:shd w:val="clear" w:fill="EEF1F4"/>
          </w:tcPr>
          <w:p>
            <w:r>
              <w:rPr>
                <w:b/>
              </w:rPr>
              <w:t xml:space="preserve">Učenci</w:t>
            </w:r>
          </w:p>
        </w:tc>
      </w:tr>
      <w:tr>
        <w:tc>
          <w:tcPr>
            <w:tcW w:w="1100" w:type="dxa"/>
          </w:tcPr>
          <w:p>
            <w:r>
              <w:t xml:space="preserve">5 min</w:t>
            </w:r>
          </w:p>
        </w:tc>
        <w:tc>
          <w:tcPr>
            <w:tcW w:w="2200" w:type="dxa"/>
          </w:tcPr>
          <w:p>
            <w:r>
              <w:rPr>
                <w:b/>
              </w:rPr>
              <w:t xml:space="preserve">Uvodna barvna uganka</w:t>
            </w:r>
          </w:p>
        </w:tc>
        <w:tc>
          <w:tcPr>
            <w:tcW w:w="3169" w:type="dxa"/>
          </w:tcPr>
          <w:p>
            <w:r>
              <w:t xml:space="preserve">Pokaže tri barvno različne vzorce indikatorja iz rdečega zelja in zastavi vprašanje, zakaj se je ista začetna tekočina različno obarvala. Zbere napovedi brez takojšnje razlage.</w:t>
            </w:r>
          </w:p>
        </w:tc>
        <w:tc>
          <w:tcPr>
            <w:tcW w:w="3169" w:type="dxa"/>
          </w:tcPr>
          <w:p>
            <w:r>
              <w:t xml:space="preserve">Opazujejo vzorce, predlagajo razloge za barvne razlike ter povežejo opažanje z morebitnimi lastnostmi raztopin.</w:t>
            </w:r>
          </w:p>
        </w:tc>
      </w:tr>
      <w:tr>
        <w:tc>
          <w:tcPr>
            <w:tcW w:w="1100" w:type="dxa"/>
          </w:tcPr>
          <w:p>
            <w:r>
              <w:t xml:space="preserve">8 min</w:t>
            </w:r>
          </w:p>
        </w:tc>
        <w:tc>
          <w:tcPr>
            <w:tcW w:w="2200" w:type="dxa"/>
          </w:tcPr>
          <w:p>
            <w:r>
              <w:rPr>
                <w:b/>
              </w:rPr>
              <w:t xml:space="preserve">Indikator in varno delo</w:t>
            </w:r>
          </w:p>
        </w:tc>
        <w:tc>
          <w:tcPr>
            <w:tcW w:w="3169" w:type="dxa"/>
          </w:tcPr>
          <w:p>
            <w:r>
              <w:t xml:space="preserve">Pojasni pojem indikator ter predstavi namen poskusa. Demonstrira pravilno uporabo kapalke oziroma Pasteurjeve pipete in poda varnostna navodila: uporaba očal, brez okušanja ali neposrednega vohanja, majhne količine, ločena pipeta za vsak vzorec, takojšnje obvestilo ob razlitju ali stiku s kožo oziroma očmi. Opozori, da se ob nezgodi delo prekine, prizadeto mesto pa se po navodilu učitelja izpira z vodo.</w:t>
            </w:r>
          </w:p>
        </w:tc>
        <w:tc>
          <w:tcPr>
            <w:tcW w:w="3169" w:type="dxa"/>
          </w:tcPr>
          <w:p>
            <w:r>
              <w:t xml:space="preserve">Ponovijo ključna varnostna pravila, prevzamejo skupinske vloge in pregledajo pripomočke. Za označene raztopine oblikujejo hipoteze o pričakovani razvrstitvi.</w:t>
            </w:r>
          </w:p>
        </w:tc>
      </w:tr>
      <w:tr>
        <w:tc>
          <w:tcPr>
            <w:tcW w:w="1100" w:type="dxa"/>
          </w:tcPr>
          <w:p>
            <w:r>
              <w:t xml:space="preserve">20 min</w:t>
            </w:r>
          </w:p>
        </w:tc>
        <w:tc>
          <w:tcPr>
            <w:tcW w:w="2200" w:type="dxa"/>
          </w:tcPr>
          <w:p>
            <w:r>
              <w:rPr>
                <w:b/>
              </w:rPr>
              <w:t xml:space="preserve">Skupinski poskus z indikatorjem iz rdečega zelja</w:t>
            </w:r>
          </w:p>
        </w:tc>
        <w:tc>
          <w:tcPr>
            <w:tcW w:w="3169" w:type="dxa"/>
          </w:tcPr>
          <w:p>
            <w:r>
              <w:t xml:space="preserve">Razdeli pripravljene, jasno označene vodne vzorce in indikator. Spremlja uporabo majhnih količin, preprečuje navzkrižno onesnaženje ter z vprašanji usmerja natančno opazovanje in zapisovanje.</w:t>
            </w:r>
          </w:p>
        </w:tc>
        <w:tc>
          <w:tcPr>
            <w:tcW w:w="3169" w:type="dxa"/>
          </w:tcPr>
          <w:p>
            <w:r>
              <w:t xml:space="preserve">V vdolbinice ali epruvete odmerijo enake majhne količine vzorcev, vsakemu dodajo enako število kapljic indikatorja, opazujejo barvne spremembe in rezultate vpišejo v preglednico. Raztopine razvrstijo kot kisle, bazične ali nevtralne ter primerjajo rezultate s hipotezami.</w:t>
            </w:r>
          </w:p>
        </w:tc>
      </w:tr>
      <w:tr>
        <w:tc>
          <w:tcPr>
            <w:tcW w:w="1100" w:type="dxa"/>
          </w:tcPr>
          <w:p>
            <w:r>
              <w:t xml:space="preserve">8 min</w:t>
            </w:r>
          </w:p>
        </w:tc>
        <w:tc>
          <w:tcPr>
            <w:tcW w:w="2200" w:type="dxa"/>
          </w:tcPr>
          <w:p>
            <w:r>
              <w:rPr>
                <w:b/>
              </w:rPr>
              <w:t xml:space="preserve">Primerjava rezultatov in oblikovanje sklepov</w:t>
            </w:r>
          </w:p>
        </w:tc>
        <w:tc>
          <w:tcPr>
            <w:tcW w:w="3169" w:type="dxa"/>
          </w:tcPr>
          <w:p>
            <w:r>
              <w:t xml:space="preserve">Na tabli oblikuje skupno preglednico rezultatov. Vodi primerjavo med skupinami in opozori, da naravni indikator omogoča predvsem oceno lastnosti raztopine, barvni odtenki pa so lahko odvisni od priprave indikatorja in količin.</w:t>
            </w:r>
          </w:p>
        </w:tc>
        <w:tc>
          <w:tcPr>
            <w:tcW w:w="3169" w:type="dxa"/>
          </w:tcPr>
          <w:p>
            <w:r>
              <w:t xml:space="preserve">Poročevalec vsake skupine predstavi en rezultat in dokaz zanj. Skupine preverijo morebitna odstopanja, dopolnijo zapise ter oblikujejo sklep, kako indikator omogoča razlikovanje med raztopinami.</w:t>
            </w:r>
          </w:p>
        </w:tc>
      </w:tr>
      <w:tr>
        <w:tc>
          <w:tcPr>
            <w:tcW w:w="1100" w:type="dxa"/>
          </w:tcPr>
          <w:p>
            <w:r>
              <w:t xml:space="preserve">4 min</w:t>
            </w:r>
          </w:p>
        </w:tc>
        <w:tc>
          <w:tcPr>
            <w:tcW w:w="2200" w:type="dxa"/>
          </w:tcPr>
          <w:p>
            <w:r>
              <w:rPr>
                <w:b/>
              </w:rPr>
              <w:t xml:space="preserve">Zaključna refleksija in preverjanje</w:t>
            </w:r>
          </w:p>
        </w:tc>
        <w:tc>
          <w:tcPr>
            <w:tcW w:w="3169" w:type="dxa"/>
          </w:tcPr>
          <w:p>
            <w:r>
              <w:t xml:space="preserve">Povzame povezavo med indikatorjem, barvno spremembo in razvrščanjem vodnih raztopin. Razdeli oziroma narekuje izhodni listek in zbere odgovore.</w:t>
            </w:r>
          </w:p>
        </w:tc>
        <w:tc>
          <w:tcPr>
            <w:tcW w:w="3169" w:type="dxa"/>
          </w:tcPr>
          <w:p>
            <w:r>
              <w:t xml:space="preserve">Samostojno rešijo izhodni listek ter zapišejo eno varnostno pravilo, ki je bilo pri poskusu posebej pomembno.</w:t>
            </w:r>
          </w:p>
        </w:tc>
      </w:tr>
    </w:tbl>
    <w:p>
      <w:pPr>
        <w:pStyle w:val="Heading1"/>
      </w:pPr>
      <w:r>
        <w:t xml:space="preserve">Uradni cilji in standardi</w:t>
      </w:r>
    </w:p>
    <w:p>
      <w:r>
        <w:rPr>
          <w:b/>
        </w:rPr>
        <w:t xml:space="preserve">Učni cilji</w:t>
      </w:r>
    </w:p>
    <w:p>
      <w:pPr>
        <w:ind w:left="360" w:hanging="200"/>
      </w:pPr>
      <w:r>
        <w:t xml:space="preserve">• Načrtuje in/ali izvaja eksperiment z uporabo indikatorjev za razlikovanje med kislimi, bazičnimi in nevtralnimi vodnimi raztopinami s pomočjo raziskovalnega pristopa ter pri tem varno in odgovorno ravna in razvija zmožnost izražanja v različnih besedilnih vrstah;</w:t>
      </w:r>
    </w:p>
    <w:p>
      <w:pPr>
        <w:ind w:left="360" w:hanging="200"/>
      </w:pPr>
      <w:r>
        <w:t xml:space="preserve">• Spoznava različne indikatorje za razlikovanje med kislimi, bazičnimi in nevtralnimi vodnimi raztopinami;</w:t>
      </w:r>
    </w:p>
    <w:p>
      <w:pPr>
        <w:ind w:left="360" w:hanging="200"/>
      </w:pPr>
      <w:r>
        <w:t xml:space="preserve">• Sooblikuje in upošteva navodila za varno in odgovorno eksperimentalno delo v (kemijski) učilnici (laboratorijski red) v skrbi za zdravje sebe in drugih ter okolje;</w:t>
      </w:r>
    </w:p>
    <w:p>
      <w:r>
        <w:rPr>
          <w:b/>
        </w:rPr>
        <w:t xml:space="preserve">Standardi znanja</w:t>
      </w:r>
    </w:p>
    <w:p>
      <w:pPr>
        <w:ind w:left="360" w:hanging="200"/>
      </w:pPr>
      <w:r>
        <w:t xml:space="preserve">• Eksperimentalno loči med kislimi, bazičnimi in nevtralnimi vodnimi raztopinami z uporabo indikatorjev (lakmus, izvleček iz barvil rdečega zelja, fenolftalein, metiloranž) in/ali na podlagi opisa eksperimenta;</w:t>
      </w:r>
    </w:p>
    <w:p>
      <w:pPr>
        <w:ind w:left="360" w:hanging="200"/>
      </w:pPr>
      <w:r>
        <w:t xml:space="preserve">• Načrtuje in/ali izvede eksperiment z uporabo indikatorjev ali nevtralizacije, tako da opredeli pripomočke, potek dela, postavi hipotezo in predstavi opažanja, rezultate ter oblikuje zaključke.</w:t>
      </w:r>
    </w:p>
    <w:p>
      <w:pPr>
        <w:ind w:left="360" w:hanging="200"/>
      </w:pPr>
      <w:r>
        <w:rPr>
          <w:b/>
        </w:rPr>
        <w:t xml:space="preserve">• Varno in odgovorno ravna/rokuje s snovmi s kislimi in bazičnimi lastnostmi v skrbi za zdravje in okolje ter pozna osnove prve pomoči v primeru nezgod pri delu z jedkimi snovmi;</w:t>
      </w:r>
    </w:p>
    <w:p>
      <w:pPr>
        <w:ind w:left="360" w:hanging="200"/>
      </w:pPr>
      <w:r>
        <w:rPr>
          <w:b/>
        </w:rPr>
        <w:t xml:space="preserve">• Pozna pojma indikator in univerzalni indikator ter obstoj različnih indikatorjev za določevanje kislosti in bazičnosti vodnih raztopin;</w:t>
      </w:r>
    </w:p>
    <w:p>
      <w:r>
        <w:rPr>
          <w:b/>
        </w:rPr>
        <w:t xml:space="preserve">Pojem</w:t>
      </w:r>
    </w:p>
    <w:p>
      <w:pPr>
        <w:ind w:left="360" w:hanging="200"/>
      </w:pPr>
      <w:r>
        <w:t xml:space="preserve">• Indikatorji</w:t>
      </w:r>
    </w:p>
    <w:p>
      <w:pPr>
        <w:pStyle w:val="Small"/>
      </w:pPr>
      <w:r>
        <w:t xml:space="preserve">Krepko: minimalni standard znanja · ležeče: izbirno (v učnem načrtu na izbiro, ni obvezno) · zahtevnejše: znanje višje ravni (splošna matura)</w:t>
      </w:r>
    </w:p>
    <w:p>
      <w:pPr>
        <w:pStyle w:val="Heading1"/>
      </w:pPr>
      <w:r>
        <w:t xml:space="preserve">Prilagoditve</w:t>
      </w:r>
    </w:p>
    <w:p>
      <w:r>
        <w:rPr>
          <w:b/>
        </w:rPr>
        <w:t xml:space="preserve">Podpora pri zapisovanju</w:t>
      </w:r>
    </w:p>
    <w:p>
      <w:r>
        <w:t xml:space="preserve">Pripravi se preglednica s stolpci: vzorec, hipoteza, opažena barva, razvrstitev in sklep ter kartice z izrazi kislo, bazično, nevtralno in indikator.</w:t>
      </w:r>
    </w:p>
    <w:p>
      <w:r>
        <w:rPr>
          <w:b/>
        </w:rPr>
        <w:t xml:space="preserve">Podpora pri izvedbi in pozornosti</w:t>
      </w:r>
    </w:p>
    <w:p>
      <w:r>
        <w:t xml:space="preserve">Navodilo je razdeljeno na oštevilčene korake, skupinske vloge pa so jasno določene: izvajalec, zapisovalec, skrbnik za varnost in poročevalec.</w:t>
      </w:r>
    </w:p>
    <w:p>
      <w:r>
        <w:rPr>
          <w:b/>
        </w:rPr>
        <w:t xml:space="preserve">Razširitev za hitrejše skupine</w:t>
      </w:r>
    </w:p>
    <w:p>
      <w:r>
        <w:t xml:space="preserve">Učenci primerjajo intenzivnost barv pri dveh različno razredčenih vzorcih iste snovi in utemeljijo, zakaj samo na podlagi naravnega indikatorja ne določajo natančne vrednosti pH.</w:t>
      </w:r>
    </w:p>
    <w:p>
      <w:pPr>
        <w:pStyle w:val="Heading1"/>
      </w:pPr>
      <w:r>
        <w:t xml:space="preserve">Gradiva</w:t>
      </w:r>
    </w:p>
    <w:p>
      <w:pPr>
        <w:ind w:left="360" w:hanging="200"/>
      </w:pPr>
      <w:r>
        <w:t xml:space="preserve">• Vnaprej pripravljen in precejen vodni izvleček barvil rdečega zelja</w:t>
      </w:r>
    </w:p>
    <w:p>
      <w:pPr>
        <w:ind w:left="360" w:hanging="200"/>
      </w:pPr>
      <w:r>
        <w:t xml:space="preserve">• Učiteljevi jasno označeni, razredčeni vodni vzorci, primerni za šolsko delo, na primer kis, raztopina sode bikarbone in destilirana voda</w:t>
      </w:r>
    </w:p>
    <w:p>
      <w:pPr>
        <w:ind w:left="360" w:hanging="200"/>
      </w:pPr>
      <w:r>
        <w:t xml:space="preserve">• Epruvete s stojali ali plošče z vdolbinicami</w:t>
      </w:r>
    </w:p>
    <w:p>
      <w:pPr>
        <w:ind w:left="360" w:hanging="200"/>
      </w:pPr>
      <w:r>
        <w:t xml:space="preserve">• Pasteurjeve pipete oziroma kapalke, ločene za posamezne vzorce</w:t>
      </w:r>
    </w:p>
    <w:p>
      <w:pPr>
        <w:ind w:left="360" w:hanging="200"/>
      </w:pPr>
      <w:r>
        <w:t xml:space="preserve">• Zaščitna očala in po potrebi zaščitne rokavice</w:t>
      </w:r>
    </w:p>
    <w:p>
      <w:pPr>
        <w:ind w:left="360" w:hanging="200"/>
      </w:pPr>
      <w:r>
        <w:t xml:space="preserve">• Delovni list s preglednico za hipoteze, opažanja, rezultate in sklepe</w:t>
      </w:r>
    </w:p>
    <w:p>
      <w:pPr>
        <w:ind w:left="360" w:hanging="200"/>
      </w:pPr>
      <w:r>
        <w:t xml:space="preserve">• Papirnate brisače, posoda za uporabljene raztopine in dostop do tekoče vode</w:t>
      </w:r>
    </w:p>
    <w:p>
      <w:pPr>
        <w:ind w:left="360" w:hanging="200"/>
      </w:pPr>
      <w:r>
        <w:t xml:space="preserve">• Barvni referenčni vzorci indikatorja, ki jih pripravi učitelj</w:t>
      </w:r>
    </w:p>
    <w:p>
      <w:pPr>
        <w:pStyle w:val="Heading1"/>
      </w:pPr>
      <w:r>
        <w:t xml:space="preserve">Izhodni listek</w:t>
      </w:r>
    </w:p>
    <w:p>
      <w:r>
        <w:t xml:space="preserve">Vzorec se po dodatku indikatorja iz rdečega zelja obarva enako kot znani bazični vzorec. Kako ga razvrstim, kaj je dokaz za sklep in katero varnostno pravilo moram upoštevati?</w:t>
      </w:r>
    </w:p>
    <w:p>
      <w:pPr>
        <w:pStyle w:val="Heading1"/>
      </w:pPr>
      <w:r>
        <w:t xml:space="preserve">Kontekst razreda</w:t>
      </w:r>
    </w:p>
    <w:p>
      <w:r>
        <w:t xml:space="preserve">Eksperimentalno delo v manjših skupinah; posebnosti oddelka niso navedene.</w:t>
      </w:r>
    </w:p>
    <w:p>
      <w:pPr>
        <w:pStyle w:val="Heading1"/>
      </w:pPr>
      <w:r>
        <w:t xml:space="preserve">Predpostavke osnutka</w:t>
      </w:r>
    </w:p>
    <w:p>
      <w:pPr>
        <w:ind w:left="360" w:hanging="200"/>
      </w:pPr>
      <w:r>
        <w:t xml:space="preserve">• Izvleček rdečega zelja je zaradi časovne omejitve pripravljen pred uro.</w:t>
      </w:r>
    </w:p>
    <w:p>
      <w:pPr>
        <w:ind w:left="360" w:hanging="200"/>
      </w:pPr>
      <w:r>
        <w:t xml:space="preserve">• Predvideni so le razredčeni, za šolsko delo ustrezni vzorci; njihove koncentracije niso navedene.</w:t>
      </w:r>
    </w:p>
    <w:p>
      <w:pPr>
        <w:ind w:left="360" w:hanging="200"/>
      </w:pPr>
      <w:r>
        <w:t xml:space="preserve">• Predznanje in posebne potrebe oddelka niso navedeni, zato so vključene splošne oblike podpore.</w:t>
      </w:r>
    </w:p>
    <w:p>
      <w:pPr>
        <w:ind w:left="360" w:hanging="200"/>
      </w:pPr>
      <w:r>
        <w:t xml:space="preserve">• Ura ne vključuje natančnega merjenja pH z univerzalnim indikatorjem ali nevtralizacije.</w:t>
      </w:r>
    </w:p>
    <w:sectPr>
      <w:pgSz w:w="11906" w:h="16838"/>
      <w:pgMar w:top="1134" w:right="1134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ptos" w:hAnsi="Aptos"/>
        <w:sz w:val="21"/>
        <w:lang w:val="sl-SI"/>
      </w:rPr>
    </w:rPrDefault>
    <w:pPrDefault>
      <w:pPr>
        <w:spacing w:after="100" w:line="264" w:lineRule="auto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rPr>
      <w:b/>
      <w:sz w:val="40"/>
      <w:color w:val="172033"/>
    </w:rPr>
  </w:style>
  <w:style w:type="paragraph" w:styleId="Subtitle">
    <w:name w:val="Subtitle"/>
    <w:basedOn w:val="Normal"/>
    <w:pPr>
      <w:spacing w:after="240"/>
    </w:pPr>
    <w:rPr>
      <w:sz w:val="22"/>
      <w:color w:val="626D7C"/>
    </w:rPr>
  </w:style>
  <w:style w:type="paragraph" w:styleId="Heading1">
    <w:name w:val="heading 1"/>
    <w:basedOn w:val="Normal"/>
    <w:pPr>
      <w:spacing w:before="320" w:after="120"/>
      <w:keepNext/>
      <w:outlineLvl w:val="0"/>
    </w:pPr>
    <w:rPr>
      <w:b/>
      <w:sz w:val="28"/>
      <w:color w:val="172033"/>
    </w:rPr>
  </w:style>
  <w:style w:type="paragraph" w:styleId="Heading2">
    <w:name w:val="heading 2"/>
    <w:basedOn w:val="Normal"/>
    <w:pPr>
      <w:spacing w:before="240" w:after="60"/>
      <w:keepNext/>
      <w:outlineLvl w:val="1"/>
    </w:pPr>
    <w:rPr>
      <w:b/>
      <w:sz w:val="24"/>
      <w:color w:val="172033"/>
    </w:rPr>
  </w:style>
  <w:style w:type="paragraph" w:styleId="Small">
    <w:name w:val="Small"/>
    <w:basedOn w:val="Normal"/>
    <w:rPr>
      <w:sz w:val="18"/>
      <w:color w:val="626D7C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Sokrat</Application>
  <AppVersion>2.0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Sprotna priprava na uro kemije: Kisline, baze in indikatorji</dc:title>
  <dc:creator>Sokrat</dc:creator>
  <dc:subject>kemija · Izobraževalni program osnovne šole · Uradni učni načrt (MVI/ZRSŠ 2025) · Tretje vzgojno-izobraževalno obdobje</dc:subject>
  <dcterms:created xsi:type="dcterms:W3CDTF">2026-09-14T22:43:00.920Z</dcterms:created>
  <dcterms:modified xsi:type="dcterms:W3CDTF">2026-09-14T22:43:00.920Z</dcterms:modified>
</cp:coreProperties>
</file>